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0" w:rsidRDefault="00BC1320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color w:val="000000" w:themeColor="text1"/>
          <w:u w:val="single"/>
          <w:lang w:val="en-US"/>
        </w:rPr>
      </w:pPr>
    </w:p>
    <w:p w:rsidR="00BC1320" w:rsidRDefault="00BC1320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color w:val="000000" w:themeColor="text1"/>
          <w:u w:val="single"/>
          <w:lang w:val="en-US"/>
        </w:rPr>
      </w:pPr>
      <w:r>
        <w:rPr>
          <w:rFonts w:asciiTheme="majorHAnsi" w:hAnsiTheme="majorHAnsi"/>
          <w:color w:val="000000" w:themeColor="text1"/>
          <w:u w:val="single"/>
          <w:lang w:val="en-US"/>
        </w:rPr>
        <w:t>Issued Date: 16 July, 2020</w:t>
      </w:r>
    </w:p>
    <w:p w:rsidR="002F37BE" w:rsidRPr="002F37BE" w:rsidRDefault="002F37BE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color w:val="000000" w:themeColor="text1"/>
          <w:u w:val="single"/>
          <w:lang w:val="en-US"/>
        </w:rPr>
      </w:pPr>
      <w:r w:rsidRPr="002F37BE">
        <w:rPr>
          <w:rFonts w:asciiTheme="majorHAnsi" w:hAnsiTheme="majorHAnsi"/>
          <w:color w:val="000000" w:themeColor="text1"/>
          <w:u w:val="single"/>
          <w:lang w:val="en-US"/>
        </w:rPr>
        <w:t>Press Note</w:t>
      </w:r>
    </w:p>
    <w:p w:rsidR="009C6199" w:rsidRDefault="005A43E3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bookmarkStart w:id="0" w:name="_GoBack"/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IRSDC evaluated</w:t>
      </w:r>
      <w:r w:rsidR="00C223C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644BD5" w:rsidRPr="00A6100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RFQ</w:t>
      </w:r>
      <w:r w:rsidR="00FF74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Applications</w:t>
      </w:r>
      <w:r w:rsidR="00644BD5" w:rsidRPr="00A6100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of Nagpur, Gwalior, Amritsar and Sabarmati </w:t>
      </w:r>
      <w:r w:rsidR="009C6199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R</w:t>
      </w:r>
      <w:r w:rsidR="00644BD5" w:rsidRPr="00A6100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ailway </w:t>
      </w:r>
      <w:r w:rsidR="009C6199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644BD5" w:rsidRPr="00A6100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tations </w:t>
      </w:r>
    </w:p>
    <w:bookmarkEnd w:id="0"/>
    <w:p w:rsidR="00FF74F0" w:rsidRDefault="00FF74F0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29 Applications are shortlisted. </w:t>
      </w:r>
    </w:p>
    <w:p w:rsidR="009C6199" w:rsidRDefault="009C6199" w:rsidP="00A61008">
      <w:pPr>
        <w:pStyle w:val="NormalWeb"/>
        <w:spacing w:before="240" w:beforeAutospacing="0" w:after="240" w:afterAutospacing="0"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6 </w:t>
      </w:r>
      <w:r w:rsidR="009F5168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applicants 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qualify for Nagpur, 8 </w:t>
      </w:r>
      <w:r w:rsidR="009F5168">
        <w:rPr>
          <w:rFonts w:asciiTheme="majorHAnsi" w:hAnsiTheme="majorHAnsi" w:cs="Arial"/>
          <w:b/>
          <w:color w:val="000000" w:themeColor="text1"/>
          <w:sz w:val="28"/>
          <w:szCs w:val="28"/>
        </w:rPr>
        <w:t>applicants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qualify for Gwalior, 6 </w:t>
      </w:r>
      <w:r w:rsidR="009F5168">
        <w:rPr>
          <w:rFonts w:asciiTheme="majorHAnsi" w:hAnsiTheme="majorHAnsi" w:cs="Arial"/>
          <w:b/>
          <w:color w:val="000000" w:themeColor="text1"/>
          <w:sz w:val="28"/>
          <w:szCs w:val="28"/>
        </w:rPr>
        <w:t>applicants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qualify for Amritsar and 9 </w:t>
      </w:r>
      <w:r w:rsidR="009F5168">
        <w:rPr>
          <w:rFonts w:asciiTheme="majorHAnsi" w:hAnsiTheme="majorHAnsi" w:cs="Arial"/>
          <w:b/>
          <w:color w:val="000000" w:themeColor="text1"/>
          <w:sz w:val="28"/>
          <w:szCs w:val="28"/>
        </w:rPr>
        <w:t>applicants</w:t>
      </w: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qualify for Sabarmati</w:t>
      </w:r>
      <w:r w:rsidR="00FF74F0">
        <w:rPr>
          <w:rFonts w:asciiTheme="majorHAnsi" w:hAnsiTheme="majorHAnsi" w:cs="Arial"/>
          <w:b/>
          <w:color w:val="000000" w:themeColor="text1"/>
          <w:sz w:val="28"/>
          <w:szCs w:val="28"/>
        </w:rPr>
        <w:t>.</w:t>
      </w:r>
    </w:p>
    <w:p w:rsidR="00644BD5" w:rsidRDefault="00644BD5" w:rsidP="00476ACF">
      <w:pPr>
        <w:pStyle w:val="NormalWeb"/>
        <w:spacing w:before="240" w:beforeAutospacing="0" w:after="24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9F5168" w:rsidRDefault="009F5168" w:rsidP="009F5168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F74F0">
        <w:rPr>
          <w:rFonts w:asciiTheme="minorHAnsi" w:hAnsiTheme="minorHAnsi" w:cstheme="minorHAnsi"/>
          <w:color w:val="000000" w:themeColor="text1"/>
        </w:rPr>
        <w:t>Indian Railway Stations Development Corporation Ltd. (IRSDC) invited RFQs (Request for Qualification) in December 2019</w:t>
      </w:r>
      <w:r>
        <w:rPr>
          <w:rFonts w:asciiTheme="minorHAnsi" w:hAnsiTheme="minorHAnsi" w:cstheme="minorHAnsi"/>
          <w:color w:val="000000" w:themeColor="text1"/>
        </w:rPr>
        <w:t xml:space="preserve"> t</w:t>
      </w:r>
      <w:r w:rsidR="00644BD5" w:rsidRPr="00FF74F0">
        <w:rPr>
          <w:rFonts w:asciiTheme="minorHAnsi" w:hAnsiTheme="minorHAnsi" w:cstheme="minorHAnsi"/>
          <w:color w:val="000000" w:themeColor="text1"/>
        </w:rPr>
        <w:t xml:space="preserve">o redevelop the four railway stations i.e. Gwalior, Nagpur, Amritsar &amp; Sabarmati and transform them into iconic city centres. </w:t>
      </w:r>
      <w:r w:rsidR="009C6199" w:rsidRPr="00FF74F0">
        <w:rPr>
          <w:rFonts w:asciiTheme="minorHAnsi" w:hAnsiTheme="minorHAnsi" w:cstheme="minorHAnsi"/>
          <w:color w:val="000000" w:themeColor="text1"/>
        </w:rPr>
        <w:t xml:space="preserve">On </w:t>
      </w:r>
      <w:r w:rsidR="00644BD5" w:rsidRPr="00FF74F0">
        <w:rPr>
          <w:rFonts w:asciiTheme="minorHAnsi" w:hAnsiTheme="minorHAnsi" w:cstheme="minorHAnsi"/>
          <w:color w:val="000000" w:themeColor="text1"/>
        </w:rPr>
        <w:t>June</w:t>
      </w:r>
      <w:r w:rsidR="009C6199" w:rsidRPr="00FF74F0">
        <w:rPr>
          <w:rFonts w:asciiTheme="minorHAnsi" w:hAnsiTheme="minorHAnsi" w:cstheme="minorHAnsi"/>
          <w:color w:val="000000" w:themeColor="text1"/>
        </w:rPr>
        <w:t xml:space="preserve"> 26,</w:t>
      </w:r>
      <w:r w:rsidR="003303F8" w:rsidRPr="00FF74F0">
        <w:rPr>
          <w:rFonts w:asciiTheme="minorHAnsi" w:hAnsiTheme="minorHAnsi" w:cstheme="minorHAnsi"/>
          <w:color w:val="000000" w:themeColor="text1"/>
        </w:rPr>
        <w:t xml:space="preserve"> 2020 IRSDC opened the RFQ applications</w:t>
      </w:r>
      <w:r w:rsidR="009C6199" w:rsidRPr="00FF74F0">
        <w:rPr>
          <w:rFonts w:asciiTheme="minorHAnsi" w:hAnsiTheme="minorHAnsi" w:cstheme="minorHAnsi"/>
          <w:color w:val="000000" w:themeColor="text1"/>
        </w:rPr>
        <w:t xml:space="preserve"> of these four railway stations and received </w:t>
      </w:r>
      <w:r w:rsidR="00644BD5" w:rsidRPr="00FF74F0">
        <w:rPr>
          <w:rFonts w:asciiTheme="minorHAnsi" w:hAnsiTheme="minorHAnsi" w:cstheme="minorHAnsi"/>
          <w:color w:val="000000" w:themeColor="text1"/>
        </w:rPr>
        <w:t>overwhe</w:t>
      </w:r>
      <w:r w:rsidR="009C6199" w:rsidRPr="00FF74F0">
        <w:rPr>
          <w:rFonts w:asciiTheme="minorHAnsi" w:hAnsiTheme="minorHAnsi" w:cstheme="minorHAnsi"/>
          <w:color w:val="000000" w:themeColor="text1"/>
        </w:rPr>
        <w:t>lming response</w:t>
      </w:r>
      <w:r w:rsidR="00644BD5" w:rsidRPr="00FF74F0">
        <w:rPr>
          <w:rFonts w:asciiTheme="minorHAnsi" w:hAnsiTheme="minorHAnsi" w:cstheme="minorHAnsi"/>
          <w:color w:val="000000" w:themeColor="text1"/>
        </w:rPr>
        <w:t xml:space="preserve"> from </w:t>
      </w:r>
      <w:r>
        <w:rPr>
          <w:rFonts w:asciiTheme="minorHAnsi" w:hAnsiTheme="minorHAnsi" w:cstheme="minorHAnsi"/>
          <w:color w:val="000000" w:themeColor="text1"/>
        </w:rPr>
        <w:t xml:space="preserve">32 </w:t>
      </w:r>
      <w:r w:rsidR="00644BD5" w:rsidRPr="00FF74F0">
        <w:rPr>
          <w:rFonts w:asciiTheme="minorHAnsi" w:hAnsiTheme="minorHAnsi" w:cstheme="minorHAnsi"/>
          <w:color w:val="000000" w:themeColor="text1"/>
        </w:rPr>
        <w:t>developers and fund</w:t>
      </w:r>
      <w:r w:rsidR="00D02675">
        <w:rPr>
          <w:rFonts w:asciiTheme="minorHAnsi" w:hAnsiTheme="minorHAnsi" w:cstheme="minorHAnsi"/>
          <w:color w:val="000000" w:themeColor="text1"/>
        </w:rPr>
        <w:t xml:space="preserve">s </w:t>
      </w:r>
      <w:r w:rsidR="00644BD5" w:rsidRPr="00FF74F0">
        <w:rPr>
          <w:rFonts w:asciiTheme="minorHAnsi" w:hAnsiTheme="minorHAnsi" w:cstheme="minorHAnsi"/>
          <w:color w:val="000000" w:themeColor="text1"/>
        </w:rPr>
        <w:t>despite the current COVID19 scenario.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IRSDC evaluated </w:t>
      </w:r>
      <w:r>
        <w:rPr>
          <w:rFonts w:asciiTheme="minorHAnsi" w:hAnsiTheme="minorHAnsi" w:cstheme="minorHAnsi"/>
          <w:bCs/>
          <w:color w:val="000000" w:themeColor="text1"/>
        </w:rPr>
        <w:t>and shortlisted</w:t>
      </w:r>
      <w:r w:rsidR="00D02675">
        <w:rPr>
          <w:rFonts w:asciiTheme="minorHAnsi" w:hAnsiTheme="minorHAnsi" w:cstheme="minorHAnsi"/>
          <w:bCs/>
          <w:color w:val="000000" w:themeColor="text1"/>
        </w:rPr>
        <w:t xml:space="preserve"> the </w:t>
      </w:r>
      <w:r w:rsidRPr="00FF74F0">
        <w:rPr>
          <w:rFonts w:asciiTheme="minorHAnsi" w:hAnsiTheme="minorHAnsi" w:cstheme="minorHAnsi"/>
          <w:bCs/>
          <w:color w:val="000000" w:themeColor="text1"/>
        </w:rPr>
        <w:t>applications</w:t>
      </w:r>
      <w:r w:rsidR="00D02675">
        <w:rPr>
          <w:rFonts w:asciiTheme="minorHAnsi" w:hAnsiTheme="minorHAnsi" w:cstheme="minorHAnsi"/>
          <w:bCs/>
          <w:color w:val="000000" w:themeColor="text1"/>
        </w:rPr>
        <w:t xml:space="preserve"> received </w:t>
      </w:r>
      <w:r w:rsidRPr="00FF74F0">
        <w:rPr>
          <w:rFonts w:asciiTheme="minorHAnsi" w:hAnsiTheme="minorHAnsi" w:cstheme="minorHAnsi"/>
          <w:bCs/>
          <w:color w:val="000000" w:themeColor="text1"/>
        </w:rPr>
        <w:t>and out of the 32 applications</w:t>
      </w:r>
      <w:r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29 applications are ‘Qualified’ for the next stage. 6 </w:t>
      </w:r>
      <w:r>
        <w:rPr>
          <w:rFonts w:asciiTheme="minorHAnsi" w:hAnsiTheme="minorHAnsi" w:cstheme="minorHAnsi"/>
          <w:bCs/>
          <w:color w:val="000000" w:themeColor="text1"/>
        </w:rPr>
        <w:t xml:space="preserve">applicants 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qualify for Nagpur, 8 </w:t>
      </w:r>
      <w:r>
        <w:rPr>
          <w:rFonts w:asciiTheme="minorHAnsi" w:hAnsiTheme="minorHAnsi" w:cstheme="minorHAnsi"/>
          <w:bCs/>
          <w:color w:val="000000" w:themeColor="text1"/>
        </w:rPr>
        <w:t>applicants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 qualify for Gwalior, 6 </w:t>
      </w:r>
      <w:r>
        <w:rPr>
          <w:rFonts w:asciiTheme="minorHAnsi" w:hAnsiTheme="minorHAnsi" w:cstheme="minorHAnsi"/>
          <w:bCs/>
          <w:color w:val="000000" w:themeColor="text1"/>
        </w:rPr>
        <w:t xml:space="preserve">applicants </w:t>
      </w:r>
      <w:r w:rsidRPr="00FF74F0">
        <w:rPr>
          <w:rFonts w:asciiTheme="minorHAnsi" w:hAnsiTheme="minorHAnsi" w:cstheme="minorHAnsi"/>
          <w:bCs/>
          <w:color w:val="000000" w:themeColor="text1"/>
        </w:rPr>
        <w:t>qualif</w:t>
      </w:r>
      <w:r>
        <w:rPr>
          <w:rFonts w:asciiTheme="minorHAnsi" w:hAnsiTheme="minorHAnsi" w:cstheme="minorHAnsi"/>
          <w:bCs/>
          <w:color w:val="000000" w:themeColor="text1"/>
        </w:rPr>
        <w:t xml:space="preserve">y 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for Amritsar and 9 </w:t>
      </w:r>
      <w:r>
        <w:rPr>
          <w:rFonts w:asciiTheme="minorHAnsi" w:hAnsiTheme="minorHAnsi" w:cstheme="minorHAnsi"/>
          <w:bCs/>
          <w:color w:val="000000" w:themeColor="text1"/>
        </w:rPr>
        <w:t>applicants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 qualify</w:t>
      </w:r>
      <w:r>
        <w:rPr>
          <w:rFonts w:asciiTheme="minorHAnsi" w:hAnsiTheme="minorHAnsi" w:cstheme="minorHAnsi"/>
          <w:bCs/>
          <w:color w:val="000000" w:themeColor="text1"/>
        </w:rPr>
        <w:t xml:space="preserve"> for Sabarmati.</w:t>
      </w:r>
    </w:p>
    <w:p w:rsidR="00D02675" w:rsidRDefault="00D02675" w:rsidP="009F5168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The list of the qualified applicants station-wise is as below: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625"/>
        <w:gridCol w:w="1607"/>
        <w:gridCol w:w="1615"/>
        <w:gridCol w:w="1711"/>
        <w:gridCol w:w="1711"/>
      </w:tblGrid>
      <w:tr w:rsidR="00D02675" w:rsidRPr="002353C7" w:rsidTr="00D02675">
        <w:trPr>
          <w:trHeight w:val="307"/>
        </w:trPr>
        <w:tc>
          <w:tcPr>
            <w:tcW w:w="465" w:type="dxa"/>
            <w:shd w:val="clear" w:color="000000" w:fill="C6E0B4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SN</w:t>
            </w:r>
          </w:p>
        </w:tc>
        <w:tc>
          <w:tcPr>
            <w:tcW w:w="2625" w:type="dxa"/>
            <w:shd w:val="clear" w:color="000000" w:fill="C6E0B4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Participating Applicants</w:t>
            </w:r>
          </w:p>
        </w:tc>
        <w:tc>
          <w:tcPr>
            <w:tcW w:w="1607" w:type="dxa"/>
            <w:shd w:val="clear" w:color="000000" w:fill="C6E0B4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Nagpur </w:t>
            </w:r>
          </w:p>
        </w:tc>
        <w:tc>
          <w:tcPr>
            <w:tcW w:w="1615" w:type="dxa"/>
            <w:shd w:val="clear" w:color="000000" w:fill="C6E0B4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Gwalior</w:t>
            </w:r>
          </w:p>
        </w:tc>
        <w:tc>
          <w:tcPr>
            <w:tcW w:w="1711" w:type="dxa"/>
            <w:shd w:val="clear" w:color="000000" w:fill="C6E0B4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Amritsar</w:t>
            </w:r>
          </w:p>
        </w:tc>
        <w:tc>
          <w:tcPr>
            <w:tcW w:w="1711" w:type="dxa"/>
            <w:shd w:val="clear" w:color="000000" w:fill="C6E0B4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Sabarmati</w:t>
            </w:r>
          </w:p>
        </w:tc>
      </w:tr>
      <w:tr w:rsidR="00D02675" w:rsidRPr="002353C7" w:rsidTr="00D02675">
        <w:trPr>
          <w:trHeight w:val="467"/>
        </w:trPr>
        <w:tc>
          <w:tcPr>
            <w:tcW w:w="465" w:type="dxa"/>
            <w:shd w:val="clear" w:color="000000" w:fill="C6E0B4"/>
            <w:noWrap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625" w:type="dxa"/>
            <w:shd w:val="clear" w:color="000000" w:fill="C6E0B4"/>
            <w:noWrap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07" w:type="dxa"/>
            <w:shd w:val="clear" w:color="000000" w:fill="C6E0B4"/>
            <w:noWrap/>
            <w:vAlign w:val="center"/>
          </w:tcPr>
          <w:p w:rsidR="00D02675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Tech Qua: 930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Fin Qua: 233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</w:tc>
        <w:tc>
          <w:tcPr>
            <w:tcW w:w="1615" w:type="dxa"/>
            <w:shd w:val="clear" w:color="000000" w:fill="C6E0B4"/>
            <w:noWrap/>
            <w:vAlign w:val="center"/>
          </w:tcPr>
          <w:p w:rsidR="00D02675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Tech Qua: 600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Fin Qua: 150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</w:tc>
        <w:tc>
          <w:tcPr>
            <w:tcW w:w="1711" w:type="dxa"/>
            <w:shd w:val="clear" w:color="000000" w:fill="C6E0B4"/>
            <w:noWrap/>
            <w:vAlign w:val="center"/>
          </w:tcPr>
          <w:p w:rsidR="00D02675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Tech Qua: 750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Fin Qua: 188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</w:tc>
        <w:tc>
          <w:tcPr>
            <w:tcW w:w="1711" w:type="dxa"/>
            <w:shd w:val="clear" w:color="000000" w:fill="C6E0B4"/>
            <w:noWrap/>
            <w:vAlign w:val="center"/>
          </w:tcPr>
          <w:p w:rsidR="00D02675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Tech Qua: 312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Fin Qua: 78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</w:t>
            </w:r>
            <w:proofErr w:type="spellEnd"/>
          </w:p>
        </w:tc>
      </w:tr>
      <w:tr w:rsidR="00D02675" w:rsidRPr="002353C7" w:rsidTr="00D02675">
        <w:trPr>
          <w:trHeight w:val="410"/>
        </w:trPr>
        <w:tc>
          <w:tcPr>
            <w:tcW w:w="465" w:type="dxa"/>
            <w:shd w:val="clear" w:color="auto" w:fill="auto"/>
            <w:noWrap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 R </w:t>
            </w:r>
            <w:proofErr w:type="spellStart"/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Infraprojects</w:t>
            </w:r>
            <w:proofErr w:type="spellEnd"/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Limited</w:t>
            </w:r>
          </w:p>
        </w:tc>
        <w:tc>
          <w:tcPr>
            <w:tcW w:w="1607" w:type="dxa"/>
            <w:shd w:val="clear" w:color="auto" w:fill="92D050"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615" w:type="dxa"/>
            <w:shd w:val="clear" w:color="auto" w:fill="92D050"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1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Kalpataru</w:t>
            </w:r>
            <w:proofErr w:type="spellEnd"/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Power Transmission Ltd.</w:t>
            </w:r>
          </w:p>
        </w:tc>
        <w:tc>
          <w:tcPr>
            <w:tcW w:w="1607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615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1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GMR Business and Consultancy LLP</w:t>
            </w:r>
          </w:p>
        </w:tc>
        <w:tc>
          <w:tcPr>
            <w:tcW w:w="1607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615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1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Anchorage Infrastructure Investments Holdings Limited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38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ISQ Asia Infrastructure Investments</w:t>
            </w:r>
          </w:p>
        </w:tc>
        <w:tc>
          <w:tcPr>
            <w:tcW w:w="1607" w:type="dxa"/>
            <w:shd w:val="clear" w:color="000000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615" w:type="dxa"/>
            <w:shd w:val="clear" w:color="000000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000000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000000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0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Monte Carlo Limited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615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0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JKB Infrastructure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+ DMIA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000000" w:fill="A09781" w:themeFill="accent2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Disqualified</w:t>
            </w:r>
          </w:p>
        </w:tc>
        <w:tc>
          <w:tcPr>
            <w:tcW w:w="1615" w:type="dxa"/>
            <w:shd w:val="clear" w:color="000000" w:fill="92D050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000000" w:fill="A09781" w:themeFill="accent2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Disqualified</w:t>
            </w:r>
          </w:p>
        </w:tc>
        <w:tc>
          <w:tcPr>
            <w:tcW w:w="1711" w:type="dxa"/>
            <w:shd w:val="clear" w:color="000000" w:fill="92D050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1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  <w:proofErr w:type="spellEnd"/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Toll Infrastructure Limited</w:t>
            </w:r>
          </w:p>
        </w:tc>
        <w:tc>
          <w:tcPr>
            <w:tcW w:w="1607" w:type="dxa"/>
            <w:shd w:val="clear" w:color="auto" w:fill="A09781" w:themeFill="accent2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Disqualified</w:t>
            </w:r>
          </w:p>
        </w:tc>
        <w:tc>
          <w:tcPr>
            <w:tcW w:w="1615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  <w:tc>
          <w:tcPr>
            <w:tcW w:w="1711" w:type="dxa"/>
            <w:shd w:val="clear" w:color="000000" w:fill="BFBFBF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  <w:tr w:rsidR="00D02675" w:rsidRPr="002353C7" w:rsidTr="00D02675">
        <w:trPr>
          <w:trHeight w:val="40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Cube Construction Engineering</w:t>
            </w:r>
          </w:p>
        </w:tc>
        <w:tc>
          <w:tcPr>
            <w:tcW w:w="1607" w:type="dxa"/>
            <w:shd w:val="clear" w:color="000000" w:fill="BFBFBF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shd w:val="clear" w:color="000000" w:fill="BFBFBF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11" w:type="dxa"/>
            <w:shd w:val="clear" w:color="000000" w:fill="BFBFBF"/>
            <w:noWrap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353C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11" w:type="dxa"/>
            <w:shd w:val="clear" w:color="auto" w:fill="92D050"/>
            <w:vAlign w:val="center"/>
            <w:hideMark/>
          </w:tcPr>
          <w:p w:rsidR="00D02675" w:rsidRPr="002353C7" w:rsidRDefault="00D02675" w:rsidP="0025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Qualified</w:t>
            </w:r>
          </w:p>
        </w:tc>
      </w:tr>
    </w:tbl>
    <w:p w:rsidR="00D5381B" w:rsidRPr="005A43E3" w:rsidRDefault="00D5381B" w:rsidP="00FF74F0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F74F0">
        <w:rPr>
          <w:rFonts w:asciiTheme="minorHAnsi" w:hAnsiTheme="minorHAnsi" w:cstheme="minorHAnsi"/>
          <w:color w:val="000000" w:themeColor="text1"/>
        </w:rPr>
        <w:t>The Applications were evaluated in accordance to the following Eligibility Criteria:-</w:t>
      </w:r>
    </w:p>
    <w:p w:rsidR="00D5381B" w:rsidRPr="00FF74F0" w:rsidRDefault="00D5381B" w:rsidP="00FF74F0">
      <w:pPr>
        <w:pStyle w:val="ListParagraph"/>
        <w:numPr>
          <w:ilvl w:val="1"/>
          <w:numId w:val="2"/>
        </w:num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5A43E3">
        <w:rPr>
          <w:rFonts w:cstheme="minorHAnsi"/>
          <w:bCs/>
          <w:color w:val="000000" w:themeColor="text1"/>
          <w:sz w:val="24"/>
          <w:szCs w:val="24"/>
          <w:u w:val="single"/>
        </w:rPr>
        <w:t>Technical Capacity</w:t>
      </w:r>
      <w:r w:rsidRPr="00FF74F0">
        <w:rPr>
          <w:rFonts w:cstheme="minorHAnsi"/>
          <w:bCs/>
          <w:color w:val="000000" w:themeColor="text1"/>
          <w:sz w:val="24"/>
          <w:szCs w:val="24"/>
        </w:rPr>
        <w:t xml:space="preserve">: </w:t>
      </w:r>
    </w:p>
    <w:p w:rsidR="00D5381B" w:rsidRPr="00FF74F0" w:rsidRDefault="00D5381B" w:rsidP="00FF74F0">
      <w:p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FF74F0">
        <w:rPr>
          <w:rFonts w:cstheme="minorHAnsi"/>
          <w:bCs/>
          <w:color w:val="000000" w:themeColor="text1"/>
          <w:sz w:val="24"/>
          <w:szCs w:val="24"/>
        </w:rPr>
        <w:lastRenderedPageBreak/>
        <w:t>Eligible Period:</w:t>
      </w:r>
      <w:r w:rsidRPr="00FF74F0">
        <w:rPr>
          <w:rFonts w:cstheme="minorHAnsi"/>
          <w:color w:val="000000" w:themeColor="text1"/>
          <w:sz w:val="24"/>
          <w:szCs w:val="24"/>
        </w:rPr>
        <w:t xml:space="preserve"> Over the past 5 financial years preceding the Application Due Date. </w:t>
      </w:r>
    </w:p>
    <w:p w:rsidR="00D02675" w:rsidRDefault="00D02675" w:rsidP="00FF74F0">
      <w:pPr>
        <w:ind w:left="1134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D02675" w:rsidRDefault="00D02675" w:rsidP="00FF74F0">
      <w:pPr>
        <w:ind w:left="1134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D5381B" w:rsidRPr="00FF74F0" w:rsidRDefault="00D5381B" w:rsidP="00FF74F0">
      <w:p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FF74F0">
        <w:rPr>
          <w:rFonts w:cstheme="minorHAnsi"/>
          <w:bCs/>
          <w:color w:val="000000" w:themeColor="text1"/>
          <w:sz w:val="24"/>
          <w:szCs w:val="24"/>
        </w:rPr>
        <w:t>Threshold value:</w:t>
      </w:r>
      <w:r w:rsidRPr="00FF74F0">
        <w:rPr>
          <w:rFonts w:cstheme="minorHAnsi"/>
          <w:color w:val="000000" w:themeColor="text1"/>
          <w:sz w:val="24"/>
          <w:szCs w:val="24"/>
        </w:rPr>
        <w:t xml:space="preserve"> The sum total value for eligible projects across various sectors for the Eligible Period after applying factors for experience should be </w:t>
      </w:r>
      <w:r w:rsidRPr="00FF74F0">
        <w:rPr>
          <w:rFonts w:cstheme="minorHAnsi"/>
          <w:bCs/>
          <w:color w:val="000000" w:themeColor="text1"/>
          <w:sz w:val="24"/>
          <w:szCs w:val="24"/>
        </w:rPr>
        <w:t xml:space="preserve">minimum twice the Indicative Project Cost </w:t>
      </w:r>
      <w:r w:rsidRPr="00FF74F0">
        <w:rPr>
          <w:rFonts w:cstheme="minorHAnsi"/>
          <w:color w:val="000000" w:themeColor="text1"/>
          <w:sz w:val="24"/>
          <w:szCs w:val="24"/>
        </w:rPr>
        <w:t xml:space="preserve">(excluding Station Estate Development Cost) after applying the experience factor. </w:t>
      </w:r>
    </w:p>
    <w:p w:rsidR="00D5381B" w:rsidRDefault="00D5381B" w:rsidP="00FF74F0">
      <w:p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FF74F0">
        <w:rPr>
          <w:rFonts w:cstheme="minorHAnsi"/>
          <w:bCs/>
          <w:color w:val="000000" w:themeColor="text1"/>
          <w:sz w:val="24"/>
          <w:szCs w:val="24"/>
        </w:rPr>
        <w:t xml:space="preserve">Individual Eligible Project Value: </w:t>
      </w:r>
      <w:r w:rsidRPr="00FF74F0">
        <w:rPr>
          <w:rFonts w:cstheme="minorHAnsi"/>
          <w:color w:val="000000" w:themeColor="text1"/>
          <w:sz w:val="24"/>
          <w:szCs w:val="24"/>
        </w:rPr>
        <w:t xml:space="preserve">Each claimed eligible project not </w:t>
      </w:r>
      <w:proofErr w:type="gramStart"/>
      <w:r w:rsidRPr="00FF74F0">
        <w:rPr>
          <w:rFonts w:cstheme="minorHAnsi"/>
          <w:color w:val="000000" w:themeColor="text1"/>
          <w:sz w:val="24"/>
          <w:szCs w:val="24"/>
        </w:rPr>
        <w:t>be</w:t>
      </w:r>
      <w:proofErr w:type="gramEnd"/>
      <w:r w:rsidRPr="00FF74F0">
        <w:rPr>
          <w:rFonts w:cstheme="minorHAnsi"/>
          <w:color w:val="000000" w:themeColor="text1"/>
          <w:sz w:val="24"/>
          <w:szCs w:val="24"/>
        </w:rPr>
        <w:t xml:space="preserve"> less than 20% of the Indicative Project Cost/ payments/ receipts, as the case may be.</w:t>
      </w:r>
    </w:p>
    <w:p w:rsidR="00D5381B" w:rsidRPr="00FF74F0" w:rsidRDefault="00D5381B" w:rsidP="00FF74F0">
      <w:pPr>
        <w:pStyle w:val="ListParagraph"/>
        <w:numPr>
          <w:ilvl w:val="1"/>
          <w:numId w:val="2"/>
        </w:num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5A43E3">
        <w:rPr>
          <w:rFonts w:cstheme="minorHAnsi"/>
          <w:bCs/>
          <w:color w:val="000000" w:themeColor="text1"/>
          <w:sz w:val="24"/>
          <w:szCs w:val="24"/>
          <w:u w:val="single"/>
        </w:rPr>
        <w:t>Financial Capacity</w:t>
      </w:r>
      <w:r w:rsidRPr="00FF74F0">
        <w:rPr>
          <w:rFonts w:cstheme="minorHAnsi"/>
          <w:bCs/>
          <w:color w:val="000000" w:themeColor="text1"/>
          <w:sz w:val="24"/>
          <w:szCs w:val="24"/>
        </w:rPr>
        <w:t xml:space="preserve">: </w:t>
      </w:r>
    </w:p>
    <w:p w:rsidR="00D5381B" w:rsidRPr="00FF74F0" w:rsidRDefault="00D5381B" w:rsidP="00FF74F0">
      <w:p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FF74F0">
        <w:rPr>
          <w:rFonts w:cstheme="minorHAnsi"/>
          <w:bCs/>
          <w:color w:val="000000" w:themeColor="text1"/>
          <w:sz w:val="24"/>
          <w:szCs w:val="24"/>
        </w:rPr>
        <w:t>Minimum Net worth:</w:t>
      </w:r>
      <w:r w:rsidRPr="00FF74F0">
        <w:rPr>
          <w:rFonts w:cstheme="minorHAnsi"/>
          <w:color w:val="000000" w:themeColor="text1"/>
          <w:sz w:val="24"/>
          <w:szCs w:val="24"/>
        </w:rPr>
        <w:t xml:space="preserve"> </w:t>
      </w:r>
      <w:r w:rsidRPr="00FF74F0">
        <w:rPr>
          <w:rFonts w:cstheme="minorHAnsi"/>
          <w:color w:val="000000" w:themeColor="text1"/>
          <w:sz w:val="24"/>
          <w:szCs w:val="24"/>
          <w:lang w:val="en-US"/>
        </w:rPr>
        <w:t xml:space="preserve">50% of the Indicative Project Cost </w:t>
      </w:r>
      <w:r w:rsidRPr="00FF74F0">
        <w:rPr>
          <w:rFonts w:cstheme="minorHAnsi"/>
          <w:color w:val="000000" w:themeColor="text1"/>
          <w:sz w:val="24"/>
          <w:szCs w:val="24"/>
        </w:rPr>
        <w:t>at the close of preceding financial year OR,</w:t>
      </w:r>
    </w:p>
    <w:p w:rsidR="00D5381B" w:rsidRPr="00FF74F0" w:rsidRDefault="00D5381B" w:rsidP="00FF74F0">
      <w:pPr>
        <w:ind w:left="1134"/>
        <w:jc w:val="both"/>
        <w:rPr>
          <w:rFonts w:cstheme="minorHAnsi"/>
          <w:color w:val="000000" w:themeColor="text1"/>
          <w:sz w:val="24"/>
          <w:szCs w:val="24"/>
        </w:rPr>
      </w:pPr>
      <w:r w:rsidRPr="00FF74F0">
        <w:rPr>
          <w:rFonts w:cstheme="minorHAnsi"/>
          <w:bCs/>
          <w:color w:val="000000" w:themeColor="text1"/>
          <w:sz w:val="24"/>
          <w:szCs w:val="24"/>
        </w:rPr>
        <w:t xml:space="preserve">Minimum ACI: </w:t>
      </w:r>
      <w:r w:rsidRPr="00FF74F0">
        <w:rPr>
          <w:rFonts w:cstheme="minorHAnsi"/>
          <w:color w:val="000000" w:themeColor="text1"/>
          <w:sz w:val="24"/>
          <w:szCs w:val="24"/>
        </w:rPr>
        <w:t>50% of the Indicative Project Cost at the close of the preceding financial year (for AIF or Foreign Investment Fund)</w:t>
      </w:r>
      <w:r w:rsidR="005A43E3">
        <w:rPr>
          <w:rFonts w:cstheme="minorHAnsi"/>
          <w:color w:val="000000" w:themeColor="text1"/>
          <w:sz w:val="24"/>
          <w:szCs w:val="24"/>
        </w:rPr>
        <w:t>.</w:t>
      </w:r>
    </w:p>
    <w:p w:rsidR="00D02675" w:rsidRDefault="009F5168" w:rsidP="00FF74F0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FF74F0" w:rsidRPr="00FF74F0">
        <w:rPr>
          <w:rFonts w:asciiTheme="minorHAnsi" w:hAnsiTheme="minorHAnsi" w:cstheme="minorHAnsi"/>
          <w:bCs/>
          <w:color w:val="000000" w:themeColor="text1"/>
        </w:rPr>
        <w:t>R</w:t>
      </w:r>
      <w:r w:rsidR="00CD478A" w:rsidRPr="00FF74F0">
        <w:rPr>
          <w:rFonts w:asciiTheme="minorHAnsi" w:hAnsiTheme="minorHAnsi" w:cstheme="minorHAnsi"/>
          <w:bCs/>
          <w:color w:val="000000" w:themeColor="text1"/>
        </w:rPr>
        <w:t>equest for Proposal</w:t>
      </w:r>
      <w:r w:rsidR="005A43E3">
        <w:rPr>
          <w:rFonts w:asciiTheme="minorHAnsi" w:hAnsiTheme="minorHAnsi" w:cstheme="minorHAnsi"/>
          <w:bCs/>
          <w:color w:val="000000" w:themeColor="text1"/>
        </w:rPr>
        <w:t xml:space="preserve"> (RFP)</w:t>
      </w:r>
      <w:r>
        <w:rPr>
          <w:rFonts w:asciiTheme="minorHAnsi" w:hAnsiTheme="minorHAnsi" w:cstheme="minorHAnsi"/>
          <w:bCs/>
          <w:color w:val="000000" w:themeColor="text1"/>
        </w:rPr>
        <w:t xml:space="preserve"> for these four projects is under preparation and</w:t>
      </w:r>
      <w:r w:rsidR="00CD478A" w:rsidRPr="00FF74F0">
        <w:rPr>
          <w:rFonts w:asciiTheme="minorHAnsi" w:hAnsiTheme="minorHAnsi" w:cstheme="minorHAnsi"/>
          <w:bCs/>
          <w:color w:val="000000" w:themeColor="text1"/>
        </w:rPr>
        <w:t xml:space="preserve"> will be called</w:t>
      </w:r>
      <w:r w:rsidR="00FF74F0" w:rsidRPr="00FF74F0">
        <w:rPr>
          <w:rFonts w:asciiTheme="minorHAnsi" w:hAnsiTheme="minorHAnsi" w:cstheme="minorHAnsi"/>
          <w:bCs/>
          <w:color w:val="000000" w:themeColor="text1"/>
        </w:rPr>
        <w:t xml:space="preserve"> shortly</w:t>
      </w:r>
      <w:r>
        <w:rPr>
          <w:rFonts w:asciiTheme="minorHAnsi" w:hAnsiTheme="minorHAnsi" w:cstheme="minorHAnsi"/>
          <w:bCs/>
          <w:color w:val="000000" w:themeColor="text1"/>
        </w:rPr>
        <w:t xml:space="preserve"> from </w:t>
      </w:r>
      <w:r w:rsidR="00FD7E51">
        <w:rPr>
          <w:rFonts w:asciiTheme="minorHAnsi" w:hAnsiTheme="minorHAnsi" w:cstheme="minorHAnsi"/>
          <w:bCs/>
          <w:color w:val="000000" w:themeColor="text1"/>
        </w:rPr>
        <w:t xml:space="preserve">the shortlisted applicants. </w:t>
      </w:r>
    </w:p>
    <w:p w:rsidR="0039521D" w:rsidRPr="00FF74F0" w:rsidRDefault="0039521D" w:rsidP="00FF74F0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F74F0">
        <w:rPr>
          <w:rFonts w:asciiTheme="minorHAnsi" w:hAnsiTheme="minorHAnsi" w:cstheme="minorHAnsi"/>
          <w:color w:val="000000" w:themeColor="text1"/>
        </w:rPr>
        <w:t xml:space="preserve">The total Indicative cost for redevelopment of the above four stations is about </w:t>
      </w:r>
      <w:proofErr w:type="spellStart"/>
      <w:r w:rsidRPr="00FF74F0">
        <w:rPr>
          <w:rFonts w:asciiTheme="minorHAnsi" w:hAnsiTheme="minorHAnsi" w:cstheme="minorHAnsi"/>
          <w:color w:val="000000" w:themeColor="text1"/>
        </w:rPr>
        <w:t>Rs</w:t>
      </w:r>
      <w:proofErr w:type="spellEnd"/>
      <w:r w:rsidR="00FD4A5F" w:rsidRPr="00FF74F0">
        <w:rPr>
          <w:rFonts w:asciiTheme="minorHAnsi" w:hAnsiTheme="minorHAnsi" w:cstheme="minorHAnsi"/>
          <w:color w:val="000000" w:themeColor="text1"/>
        </w:rPr>
        <w:t>.</w:t>
      </w:r>
      <w:r w:rsidRPr="00FF74F0">
        <w:rPr>
          <w:rFonts w:asciiTheme="minorHAnsi" w:hAnsiTheme="minorHAnsi" w:cstheme="minorHAnsi"/>
          <w:color w:val="000000" w:themeColor="text1"/>
        </w:rPr>
        <w:t xml:space="preserve"> 1300 </w:t>
      </w:r>
      <w:proofErr w:type="spellStart"/>
      <w:r w:rsidRPr="00FF74F0">
        <w:rPr>
          <w:rFonts w:asciiTheme="minorHAnsi" w:hAnsiTheme="minorHAnsi" w:cstheme="minorHAnsi"/>
          <w:color w:val="000000" w:themeColor="text1"/>
        </w:rPr>
        <w:t>crore</w:t>
      </w:r>
      <w:proofErr w:type="spellEnd"/>
      <w:r w:rsidRPr="00FF74F0">
        <w:rPr>
          <w:rFonts w:asciiTheme="minorHAnsi" w:hAnsiTheme="minorHAnsi" w:cstheme="minorHAnsi"/>
          <w:color w:val="000000" w:themeColor="text1"/>
        </w:rPr>
        <w:t xml:space="preserve">. The total built up area (BUA) allowed for commercial development is 54 lakh sq. ft. </w:t>
      </w:r>
      <w:r w:rsidR="00E812E2" w:rsidRPr="00FF74F0">
        <w:rPr>
          <w:rFonts w:asciiTheme="minorHAnsi" w:hAnsiTheme="minorHAnsi" w:cstheme="minorHAnsi"/>
          <w:color w:val="000000" w:themeColor="text1"/>
        </w:rPr>
        <w:t>No land use change and prior environmental clearance is required for these projects</w:t>
      </w:r>
      <w:r w:rsidR="00283465" w:rsidRPr="00FF74F0">
        <w:rPr>
          <w:rFonts w:asciiTheme="minorHAnsi" w:hAnsiTheme="minorHAnsi" w:cstheme="minorHAnsi"/>
          <w:color w:val="000000" w:themeColor="text1"/>
        </w:rPr>
        <w:t xml:space="preserve"> as these are Railway projects under Railway Act 1989</w:t>
      </w:r>
      <w:r w:rsidR="00E812E2" w:rsidRPr="00FF74F0">
        <w:rPr>
          <w:rFonts w:asciiTheme="minorHAnsi" w:hAnsiTheme="minorHAnsi" w:cstheme="minorHAnsi"/>
          <w:color w:val="000000" w:themeColor="text1"/>
        </w:rPr>
        <w:t>. IRSDC is the nodal agency for redevelopment of stations.</w:t>
      </w:r>
    </w:p>
    <w:p w:rsidR="00283465" w:rsidRPr="00FF74F0" w:rsidRDefault="00476ACF" w:rsidP="00FF74F0">
      <w:pPr>
        <w:pStyle w:val="NormalWeb"/>
        <w:tabs>
          <w:tab w:val="left" w:pos="1560"/>
        </w:tabs>
        <w:spacing w:before="240" w:after="24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F74F0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39521D" w:rsidRPr="00FF74F0">
        <w:rPr>
          <w:rFonts w:asciiTheme="minorHAnsi" w:hAnsiTheme="minorHAnsi" w:cstheme="minorHAnsi"/>
          <w:bCs/>
          <w:color w:val="000000" w:themeColor="text1"/>
        </w:rPr>
        <w:t>above</w:t>
      </w:r>
      <w:r w:rsidR="00A61008" w:rsidRPr="00FF74F0">
        <w:rPr>
          <w:rFonts w:asciiTheme="minorHAnsi" w:hAnsiTheme="minorHAnsi" w:cstheme="minorHAnsi"/>
          <w:bCs/>
          <w:color w:val="000000" w:themeColor="text1"/>
        </w:rPr>
        <w:t xml:space="preserve"> four 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Projects hold distinction of being the first railway projects to have in principle approval of </w:t>
      </w:r>
      <w:r w:rsidR="00A61008" w:rsidRPr="00FF74F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Public Private Partnership Appraisal Committee </w:t>
      </w:r>
      <w:r w:rsidR="00A61008" w:rsidRPr="00FF74F0">
        <w:rPr>
          <w:rFonts w:asciiTheme="minorHAnsi" w:hAnsiTheme="minorHAnsi" w:cstheme="minorHAnsi"/>
          <w:bCs/>
          <w:color w:val="000000" w:themeColor="text1"/>
        </w:rPr>
        <w:t xml:space="preserve"> (</w:t>
      </w:r>
      <w:r w:rsidRPr="00FF74F0">
        <w:rPr>
          <w:rFonts w:asciiTheme="minorHAnsi" w:hAnsiTheme="minorHAnsi" w:cstheme="minorHAnsi"/>
          <w:bCs/>
          <w:color w:val="000000" w:themeColor="text1"/>
        </w:rPr>
        <w:t>PPPAC</w:t>
      </w:r>
      <w:r w:rsidR="00A61008" w:rsidRPr="00FF74F0">
        <w:rPr>
          <w:rFonts w:asciiTheme="minorHAnsi" w:hAnsiTheme="minorHAnsi" w:cstheme="minorHAnsi"/>
          <w:bCs/>
          <w:color w:val="000000" w:themeColor="text1"/>
        </w:rPr>
        <w:t xml:space="preserve">), </w:t>
      </w:r>
      <w:r w:rsidR="00A61008" w:rsidRPr="00FF74F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formed by GOI for PPP projects. These four stations </w:t>
      </w:r>
      <w:r w:rsidRPr="00FF74F0">
        <w:rPr>
          <w:rFonts w:asciiTheme="minorHAnsi" w:hAnsiTheme="minorHAnsi" w:cstheme="minorHAnsi"/>
          <w:bCs/>
          <w:color w:val="000000" w:themeColor="text1"/>
        </w:rPr>
        <w:t xml:space="preserve">are also the first ones to have </w:t>
      </w:r>
      <w:r w:rsidR="00283465" w:rsidRPr="00FF74F0">
        <w:rPr>
          <w:rFonts w:asciiTheme="minorHAnsi" w:hAnsiTheme="minorHAnsi" w:cstheme="minorHAnsi"/>
          <w:bCs/>
          <w:color w:val="000000" w:themeColor="text1"/>
        </w:rPr>
        <w:t xml:space="preserve">provision of pre-determined user charges on passengers and visitors as one of the main revenue stream for the concessionaire of the redeveloped stations. </w:t>
      </w:r>
    </w:p>
    <w:p w:rsidR="005F4FE3" w:rsidRPr="005F4FE3" w:rsidRDefault="005F4FE3" w:rsidP="00FF74F0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5F4FE3">
        <w:rPr>
          <w:rFonts w:asciiTheme="minorHAnsi" w:hAnsiTheme="minorHAnsi" w:cstheme="minorHAnsi"/>
          <w:bCs/>
          <w:color w:val="000000" w:themeColor="text1"/>
          <w:u w:val="single"/>
        </w:rPr>
        <w:t>About IRSDC</w:t>
      </w:r>
      <w:r>
        <w:rPr>
          <w:rFonts w:asciiTheme="minorHAnsi" w:hAnsiTheme="minorHAnsi" w:cstheme="minorHAnsi"/>
          <w:bCs/>
          <w:color w:val="000000" w:themeColor="text1"/>
          <w:u w:val="single"/>
        </w:rPr>
        <w:t>:</w:t>
      </w:r>
    </w:p>
    <w:p w:rsidR="005F4FE3" w:rsidRPr="00FF74F0" w:rsidRDefault="005F4FE3" w:rsidP="005F4FE3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F74F0">
        <w:rPr>
          <w:rFonts w:asciiTheme="minorHAnsi" w:hAnsiTheme="minorHAnsi" w:cstheme="minorHAnsi"/>
          <w:color w:val="000000" w:themeColor="text1"/>
        </w:rPr>
        <w:t xml:space="preserve">Indian Railway Stations Development Corporation Ltd. (IRSDC) is a Joint venture company of RLDA and IRCON </w:t>
      </w:r>
      <w:proofErr w:type="gramStart"/>
      <w:r w:rsidRPr="00FF74F0">
        <w:rPr>
          <w:rFonts w:asciiTheme="minorHAnsi" w:hAnsiTheme="minorHAnsi" w:cstheme="minorHAnsi"/>
          <w:color w:val="000000" w:themeColor="text1"/>
        </w:rPr>
        <w:t>with 50:50 ownership</w:t>
      </w:r>
      <w:proofErr w:type="gramEnd"/>
      <w:r w:rsidRPr="00FF74F0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FF74F0">
        <w:rPr>
          <w:rFonts w:asciiTheme="minorHAnsi" w:hAnsiTheme="minorHAnsi" w:cstheme="minorHAnsi"/>
          <w:color w:val="000000" w:themeColor="text1"/>
        </w:rPr>
        <w:t>RITES is</w:t>
      </w:r>
      <w:proofErr w:type="gramEnd"/>
      <w:r w:rsidRPr="00FF74F0">
        <w:rPr>
          <w:rFonts w:asciiTheme="minorHAnsi" w:hAnsiTheme="minorHAnsi" w:cstheme="minorHAnsi"/>
          <w:color w:val="000000" w:themeColor="text1"/>
        </w:rPr>
        <w:t xml:space="preserve"> also likely to join shortly as another promoter with 24% equity so that RITES and IRCON shall jointly hold 50% equity. IRSDC is at the core of Indian Railway’s mission of transforming country’s railway stations into world-class 24x7 hubs. These redeveloped hubs will be called as ‘</w:t>
      </w:r>
      <w:proofErr w:type="spellStart"/>
      <w:r w:rsidRPr="00FF74F0">
        <w:rPr>
          <w:rFonts w:asciiTheme="minorHAnsi" w:hAnsiTheme="minorHAnsi" w:cstheme="minorHAnsi"/>
          <w:color w:val="000000" w:themeColor="text1"/>
        </w:rPr>
        <w:t>Railopolis</w:t>
      </w:r>
      <w:proofErr w:type="spellEnd"/>
      <w:r w:rsidRPr="00FF74F0">
        <w:rPr>
          <w:rFonts w:asciiTheme="minorHAnsi" w:hAnsiTheme="minorHAnsi" w:cstheme="minorHAnsi"/>
          <w:color w:val="000000" w:themeColor="text1"/>
        </w:rPr>
        <w:t xml:space="preserve">’ which will attract huge investment and create business opportunities in the heart of cities, creating city </w:t>
      </w:r>
      <w:proofErr w:type="spellStart"/>
      <w:r w:rsidRPr="00FF74F0">
        <w:rPr>
          <w:rFonts w:asciiTheme="minorHAnsi" w:hAnsiTheme="minorHAnsi" w:cstheme="minorHAnsi"/>
          <w:color w:val="000000" w:themeColor="text1"/>
        </w:rPr>
        <w:t>centers</w:t>
      </w:r>
      <w:proofErr w:type="spellEnd"/>
      <w:r w:rsidRPr="00FF74F0">
        <w:rPr>
          <w:rFonts w:asciiTheme="minorHAnsi" w:hAnsiTheme="minorHAnsi" w:cstheme="minorHAnsi"/>
          <w:color w:val="000000" w:themeColor="text1"/>
        </w:rPr>
        <w:t xml:space="preserve"> around redeveloped stations. With the application of Form Based codes developed by IRSDC, the availability of public area in </w:t>
      </w:r>
      <w:proofErr w:type="spellStart"/>
      <w:r w:rsidRPr="00FF74F0">
        <w:rPr>
          <w:rFonts w:asciiTheme="minorHAnsi" w:hAnsiTheme="minorHAnsi" w:cstheme="minorHAnsi"/>
          <w:color w:val="000000" w:themeColor="text1"/>
        </w:rPr>
        <w:t>Railopolis</w:t>
      </w:r>
      <w:proofErr w:type="spellEnd"/>
      <w:r w:rsidRPr="00FF74F0">
        <w:rPr>
          <w:rFonts w:asciiTheme="minorHAnsi" w:hAnsiTheme="minorHAnsi" w:cstheme="minorHAnsi"/>
          <w:color w:val="000000" w:themeColor="text1"/>
        </w:rPr>
        <w:t xml:space="preserve"> shall be much higher thus creating superior experience for the users.</w:t>
      </w:r>
    </w:p>
    <w:p w:rsidR="00A61008" w:rsidRPr="00FF74F0" w:rsidRDefault="00A61008" w:rsidP="00FF74F0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FF74F0">
        <w:rPr>
          <w:rFonts w:asciiTheme="minorHAnsi" w:hAnsiTheme="minorHAnsi" w:cstheme="minorHAnsi"/>
          <w:bCs/>
          <w:color w:val="000000" w:themeColor="text1"/>
        </w:rPr>
        <w:t>Keep following our social media handles on Twitter (@</w:t>
      </w:r>
      <w:proofErr w:type="spellStart"/>
      <w:r w:rsidRPr="00FF74F0">
        <w:rPr>
          <w:rFonts w:asciiTheme="minorHAnsi" w:hAnsiTheme="minorHAnsi" w:cstheme="minorHAnsi"/>
          <w:bCs/>
          <w:color w:val="000000" w:themeColor="text1"/>
        </w:rPr>
        <w:t>irsdcinfo</w:t>
      </w:r>
      <w:proofErr w:type="spellEnd"/>
      <w:r w:rsidRPr="00FF74F0">
        <w:rPr>
          <w:rFonts w:asciiTheme="minorHAnsi" w:hAnsiTheme="minorHAnsi" w:cstheme="minorHAnsi"/>
          <w:bCs/>
          <w:color w:val="000000" w:themeColor="text1"/>
        </w:rPr>
        <w:t>) and Facebook (facebook.com/IRSDC) for recent updates. Check our website: irsdc.in</w:t>
      </w:r>
    </w:p>
    <w:sectPr w:rsidR="00A61008" w:rsidRPr="00FF74F0" w:rsidSect="00D02675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931"/>
    <w:multiLevelType w:val="hybridMultilevel"/>
    <w:tmpl w:val="9774E1FC"/>
    <w:lvl w:ilvl="0" w:tplc="26DA0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94B"/>
    <w:multiLevelType w:val="hybridMultilevel"/>
    <w:tmpl w:val="D3FAD1F4"/>
    <w:lvl w:ilvl="0" w:tplc="FDAE9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1E5D06"/>
    <w:rsid w:val="00262214"/>
    <w:rsid w:val="00283465"/>
    <w:rsid w:val="002B0FA3"/>
    <w:rsid w:val="002F37BE"/>
    <w:rsid w:val="0031681B"/>
    <w:rsid w:val="003303F8"/>
    <w:rsid w:val="0039521D"/>
    <w:rsid w:val="00476ACF"/>
    <w:rsid w:val="005A43E3"/>
    <w:rsid w:val="005F4FE3"/>
    <w:rsid w:val="00644BD5"/>
    <w:rsid w:val="00662AED"/>
    <w:rsid w:val="0067746F"/>
    <w:rsid w:val="006C0A70"/>
    <w:rsid w:val="00721E51"/>
    <w:rsid w:val="009C52DF"/>
    <w:rsid w:val="009C6199"/>
    <w:rsid w:val="009F5168"/>
    <w:rsid w:val="00A15A1C"/>
    <w:rsid w:val="00A61008"/>
    <w:rsid w:val="00B32C19"/>
    <w:rsid w:val="00BC1320"/>
    <w:rsid w:val="00C223C2"/>
    <w:rsid w:val="00C316D2"/>
    <w:rsid w:val="00C43640"/>
    <w:rsid w:val="00CD478A"/>
    <w:rsid w:val="00D02675"/>
    <w:rsid w:val="00D5381B"/>
    <w:rsid w:val="00E812E2"/>
    <w:rsid w:val="00EB6331"/>
    <w:rsid w:val="00FD4A5F"/>
    <w:rsid w:val="00FD7E5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7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7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DELL</dc:creator>
  <cp:lastModifiedBy>IRSDC</cp:lastModifiedBy>
  <cp:revision>2</cp:revision>
  <cp:lastPrinted>2020-07-16T09:25:00Z</cp:lastPrinted>
  <dcterms:created xsi:type="dcterms:W3CDTF">2020-09-02T05:53:00Z</dcterms:created>
  <dcterms:modified xsi:type="dcterms:W3CDTF">2020-09-02T05:53:00Z</dcterms:modified>
</cp:coreProperties>
</file>